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pStyle w:val="Style_2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Перечень публичных нормативных обязательств</w:t>
      </w:r>
      <w:r>
        <w:rPr>
          <w:rFonts w:ascii="Times New Roman" w:hAnsi="Times New Roman"/>
          <w:b w:val="1"/>
          <w:sz w:val="28"/>
        </w:rPr>
        <w:br/>
      </w:r>
      <w:r>
        <w:rPr>
          <w:rFonts w:ascii="Times New Roman" w:hAnsi="Times New Roman"/>
          <w:b w:val="1"/>
          <w:sz w:val="28"/>
        </w:rPr>
        <w:t>Зимовниковского сельского поселения</w:t>
      </w:r>
      <w:r>
        <w:rPr>
          <w:rFonts w:ascii="Times New Roman" w:hAnsi="Times New Roman"/>
          <w:b w:val="1"/>
          <w:sz w:val="28"/>
        </w:rPr>
        <w:t>, подлежащих исполнению за счет средств</w:t>
      </w:r>
      <w:r>
        <w:rPr>
          <w:rFonts w:ascii="Times New Roman" w:hAnsi="Times New Roman"/>
          <w:b w:val="1"/>
          <w:sz w:val="28"/>
        </w:rPr>
        <w:t xml:space="preserve"> местного</w:t>
      </w:r>
      <w:r>
        <w:rPr>
          <w:rFonts w:ascii="Times New Roman" w:hAnsi="Times New Roman"/>
          <w:b w:val="1"/>
          <w:sz w:val="28"/>
        </w:rPr>
        <w:t xml:space="preserve"> бюджета, на 20</w:t>
      </w:r>
      <w:r>
        <w:rPr>
          <w:rFonts w:ascii="Times New Roman" w:hAnsi="Times New Roman"/>
          <w:b w:val="1"/>
          <w:sz w:val="28"/>
        </w:rPr>
        <w:t>24</w:t>
      </w:r>
      <w:r>
        <w:rPr>
          <w:rFonts w:ascii="Times New Roman" w:hAnsi="Times New Roman"/>
          <w:b w:val="1"/>
          <w:sz w:val="28"/>
        </w:rPr>
        <w:t xml:space="preserve"> год и на плановый период 20</w:t>
      </w:r>
      <w:r>
        <w:rPr>
          <w:rFonts w:ascii="Times New Roman" w:hAnsi="Times New Roman"/>
          <w:b w:val="1"/>
          <w:sz w:val="28"/>
        </w:rPr>
        <w:t>25</w:t>
      </w:r>
      <w:r>
        <w:rPr>
          <w:rFonts w:ascii="Times New Roman" w:hAnsi="Times New Roman"/>
          <w:b w:val="1"/>
          <w:sz w:val="28"/>
        </w:rPr>
        <w:t xml:space="preserve"> и 2026</w:t>
      </w:r>
      <w:r>
        <w:rPr>
          <w:rFonts w:ascii="Times New Roman" w:hAnsi="Times New Roman"/>
          <w:b w:val="1"/>
          <w:sz w:val="28"/>
        </w:rPr>
        <w:t xml:space="preserve"> годов</w:t>
      </w:r>
    </w:p>
    <w:p w14:paraId="04000000">
      <w:pPr>
        <w:pStyle w:val="Style_2"/>
        <w:ind/>
        <w:jc w:val="right"/>
        <w:rPr>
          <w:rFonts w:ascii="Times New Roman" w:hAnsi="Times New Roman"/>
          <w:sz w:val="28"/>
        </w:rPr>
      </w:pPr>
    </w:p>
    <w:p w14:paraId="05000000">
      <w:pPr>
        <w:pStyle w:val="Style_2"/>
        <w:ind/>
        <w:jc w:val="right"/>
        <w:rPr>
          <w:rFonts w:ascii="Times New Roman" w:hAnsi="Times New Roman"/>
          <w:sz w:val="28"/>
        </w:rPr>
      </w:pPr>
    </w:p>
    <w:p w14:paraId="06000000">
      <w:pPr>
        <w:pStyle w:val="Style_2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(тыс. рублей)</w:t>
      </w:r>
    </w:p>
    <w:tbl>
      <w:tblPr>
        <w:tblStyle w:val="Style_3"/>
        <w:tblInd w:type="dxa" w:w="-176"/>
        <w:tblLayout w:type="fixed"/>
      </w:tblPr>
      <w:tblGrid>
        <w:gridCol w:w="4253"/>
        <w:gridCol w:w="1701"/>
        <w:gridCol w:w="708"/>
        <w:gridCol w:w="1276"/>
        <w:gridCol w:w="1276"/>
        <w:gridCol w:w="1276"/>
      </w:tblGrid>
      <w:tr>
        <w:trPr>
          <w:trHeight w:hRule="atLeast" w:val="390"/>
        </w:trPr>
        <w:tc>
          <w:tcPr>
            <w:tcW w:type="dxa" w:w="425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color w:val="000000"/>
                <w:sz w:val="28"/>
              </w:rPr>
            </w:pPr>
            <w:r>
              <w:rPr>
                <w:rFonts w:ascii="Times New Roman" w:hAnsi="Times New Roman"/>
                <w:b w:val="1"/>
                <w:color w:val="000000"/>
                <w:sz w:val="28"/>
              </w:rPr>
              <w:t>Наименование</w:t>
            </w:r>
          </w:p>
        </w:tc>
        <w:tc>
          <w:tcPr>
            <w:tcW w:type="dxa" w:w="170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  <w:shd w:fill="auto" w:val="clear"/>
            <w:vAlign w:val="center"/>
          </w:tcPr>
          <w:p w14:paraId="0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color w:val="000000"/>
                <w:sz w:val="28"/>
              </w:rPr>
            </w:pPr>
            <w:r>
              <w:rPr>
                <w:rFonts w:ascii="Times New Roman" w:hAnsi="Times New Roman"/>
                <w:b w:val="1"/>
                <w:color w:val="000000"/>
                <w:sz w:val="28"/>
              </w:rPr>
              <w:t>КЦСР</w:t>
            </w:r>
          </w:p>
        </w:tc>
        <w:tc>
          <w:tcPr>
            <w:tcW w:type="dxa" w:w="70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9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b w:val="1"/>
                <w:color w:val="000000"/>
                <w:sz w:val="28"/>
              </w:rPr>
            </w:pPr>
            <w:r>
              <w:rPr>
                <w:rFonts w:ascii="Times New Roman" w:hAnsi="Times New Roman"/>
                <w:b w:val="1"/>
                <w:color w:val="000000"/>
                <w:sz w:val="28"/>
              </w:rPr>
              <w:t>КВР</w:t>
            </w:r>
          </w:p>
        </w:tc>
        <w:tc>
          <w:tcPr>
            <w:tcW w:type="dxa" w:w="127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color w:val="000000"/>
                <w:sz w:val="28"/>
              </w:rPr>
            </w:pPr>
            <w:r>
              <w:rPr>
                <w:rFonts w:ascii="Times New Roman" w:hAnsi="Times New Roman"/>
                <w:b w:val="1"/>
                <w:color w:val="000000"/>
                <w:sz w:val="28"/>
              </w:rPr>
              <w:t>20</w:t>
            </w:r>
            <w:r>
              <w:rPr>
                <w:rFonts w:ascii="Times New Roman" w:hAnsi="Times New Roman"/>
                <w:b w:val="1"/>
                <w:color w:val="000000"/>
                <w:sz w:val="28"/>
              </w:rPr>
              <w:t>2</w:t>
            </w:r>
            <w:r>
              <w:rPr>
                <w:rFonts w:ascii="Times New Roman" w:hAnsi="Times New Roman"/>
                <w:b w:val="1"/>
                <w:color w:val="000000"/>
                <w:sz w:val="28"/>
              </w:rPr>
              <w:t>4</w:t>
            </w:r>
            <w:r>
              <w:rPr>
                <w:rFonts w:ascii="Times New Roman" w:hAnsi="Times New Roman"/>
                <w:b w:val="1"/>
                <w:color w:val="000000"/>
                <w:sz w:val="28"/>
              </w:rPr>
              <w:t xml:space="preserve"> год</w:t>
            </w:r>
          </w:p>
        </w:tc>
        <w:tc>
          <w:tcPr>
            <w:tcW w:type="dxa" w:w="255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color w:val="000000"/>
                <w:sz w:val="28"/>
              </w:rPr>
            </w:pPr>
            <w:r>
              <w:rPr>
                <w:rFonts w:ascii="Times New Roman" w:hAnsi="Times New Roman"/>
                <w:b w:val="1"/>
                <w:color w:val="000000"/>
                <w:sz w:val="28"/>
              </w:rPr>
              <w:t>Плановый период</w:t>
            </w:r>
          </w:p>
        </w:tc>
      </w:tr>
      <w:tr>
        <w:trPr>
          <w:trHeight w:hRule="atLeast" w:val="390"/>
        </w:trPr>
        <w:tc>
          <w:tcPr>
            <w:tcW w:type="dxa" w:w="425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170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  <w:shd w:fill="auto" w:val="clear"/>
            <w:vAlign w:val="center"/>
          </w:tcPr>
          <w:p/>
        </w:tc>
        <w:tc>
          <w:tcPr>
            <w:tcW w:type="dxa" w:w="70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127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12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color w:val="000000"/>
                <w:sz w:val="28"/>
              </w:rPr>
            </w:pPr>
            <w:r>
              <w:rPr>
                <w:rFonts w:ascii="Times New Roman" w:hAnsi="Times New Roman"/>
                <w:b w:val="1"/>
                <w:color w:val="000000"/>
                <w:sz w:val="28"/>
              </w:rPr>
              <w:t>20</w:t>
            </w:r>
            <w:r>
              <w:rPr>
                <w:rFonts w:ascii="Times New Roman" w:hAnsi="Times New Roman"/>
                <w:b w:val="1"/>
                <w:color w:val="000000"/>
                <w:sz w:val="28"/>
              </w:rPr>
              <w:t>2</w:t>
            </w:r>
            <w:r>
              <w:rPr>
                <w:rFonts w:ascii="Times New Roman" w:hAnsi="Times New Roman"/>
                <w:b w:val="1"/>
                <w:color w:val="000000"/>
                <w:sz w:val="28"/>
              </w:rPr>
              <w:t>5</w:t>
            </w:r>
            <w:r>
              <w:rPr>
                <w:rFonts w:ascii="Times New Roman" w:hAnsi="Times New Roman"/>
                <w:b w:val="1"/>
                <w:color w:val="000000"/>
                <w:sz w:val="28"/>
              </w:rPr>
              <w:t xml:space="preserve"> год</w:t>
            </w:r>
          </w:p>
        </w:tc>
        <w:tc>
          <w:tcPr>
            <w:tcW w:type="dxa" w:w="12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color w:val="000000"/>
                <w:sz w:val="28"/>
              </w:rPr>
            </w:pPr>
            <w:r>
              <w:rPr>
                <w:rFonts w:ascii="Times New Roman" w:hAnsi="Times New Roman"/>
                <w:b w:val="1"/>
                <w:color w:val="000000"/>
                <w:sz w:val="28"/>
              </w:rPr>
              <w:t>202</w:t>
            </w:r>
            <w:r>
              <w:rPr>
                <w:rFonts w:ascii="Times New Roman" w:hAnsi="Times New Roman"/>
                <w:b w:val="1"/>
                <w:color w:val="000000"/>
                <w:sz w:val="28"/>
              </w:rPr>
              <w:t>6</w:t>
            </w:r>
            <w:r>
              <w:rPr>
                <w:rFonts w:ascii="Times New Roman" w:hAnsi="Times New Roman"/>
                <w:b w:val="1"/>
                <w:color w:val="000000"/>
                <w:sz w:val="28"/>
              </w:rPr>
              <w:t xml:space="preserve"> год</w:t>
            </w:r>
          </w:p>
        </w:tc>
      </w:tr>
    </w:tbl>
    <w:p w14:paraId="0E000000">
      <w:pPr>
        <w:pStyle w:val="Style_2"/>
        <w:rPr>
          <w:sz w:val="2"/>
        </w:rPr>
      </w:pPr>
    </w:p>
    <w:tbl>
      <w:tblPr>
        <w:tblStyle w:val="Style_3"/>
        <w:tblInd w:type="dxa" w:w="-176"/>
        <w:tblLayout w:type="fixed"/>
      </w:tblPr>
      <w:tblGrid>
        <w:gridCol w:w="4250"/>
        <w:gridCol w:w="1701"/>
        <w:gridCol w:w="712"/>
        <w:gridCol w:w="1276"/>
        <w:gridCol w:w="1277"/>
        <w:gridCol w:w="1276"/>
      </w:tblGrid>
      <w:tr>
        <w:trPr>
          <w:trHeight w:hRule="atLeast" w:val="278"/>
          <w:tblHeader/>
        </w:trPr>
        <w:tc>
          <w:tcPr>
            <w:tcW w:type="dxa" w:w="4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  <w:vAlign w:val="center"/>
          </w:tcPr>
          <w:p w14:paraId="1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type="dxa" w:w="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1000000">
            <w:pPr>
              <w:spacing w:after="0" w:line="240" w:lineRule="auto"/>
              <w:ind w:right="-122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spacing w:after="0" w:line="240" w:lineRule="auto"/>
              <w:ind w:right="148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</w:tr>
      <w:tr>
        <w:trPr>
          <w:trHeight w:hRule="atLeast" w:val="1250"/>
        </w:trPr>
        <w:tc>
          <w:tcPr>
            <w:tcW w:type="dxa" w:w="10492"/>
            <w:gridSpan w:val="6"/>
            <w:tcBorders>
              <w:top w:sz="4" w:val="nil"/>
              <w:left w:sz="4" w:val="nil"/>
              <w:right w:sz="4" w:val="nil"/>
            </w:tcBorders>
            <w:shd w:fill="auto" w:val="clea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pacing w:val="-10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Решение Собрания депутатов</w:t>
            </w:r>
            <w:r>
              <w:rPr>
                <w:rFonts w:ascii="Times New Roman" w:hAnsi="Times New Roman"/>
                <w:b w:val="1"/>
                <w:sz w:val="28"/>
              </w:rPr>
              <w:t xml:space="preserve"> от 15 </w:t>
            </w:r>
            <w:r>
              <w:rPr>
                <w:rFonts w:ascii="Times New Roman" w:hAnsi="Times New Roman"/>
                <w:b w:val="1"/>
                <w:sz w:val="28"/>
              </w:rPr>
              <w:t>октября</w:t>
            </w:r>
            <w:r>
              <w:rPr>
                <w:rFonts w:ascii="Times New Roman" w:hAnsi="Times New Roman"/>
                <w:b w:val="1"/>
                <w:sz w:val="28"/>
              </w:rPr>
              <w:t xml:space="preserve"> 200</w:t>
            </w:r>
            <w:r>
              <w:rPr>
                <w:rFonts w:ascii="Times New Roman" w:hAnsi="Times New Roman"/>
                <w:b w:val="1"/>
                <w:sz w:val="28"/>
              </w:rPr>
              <w:t>9</w:t>
            </w:r>
            <w:r>
              <w:rPr>
                <w:rFonts w:ascii="Times New Roman" w:hAnsi="Times New Roman"/>
                <w:b w:val="1"/>
                <w:sz w:val="28"/>
              </w:rPr>
              <w:t xml:space="preserve"> года № </w:t>
            </w:r>
            <w:r>
              <w:rPr>
                <w:rFonts w:ascii="Times New Roman" w:hAnsi="Times New Roman"/>
                <w:b w:val="1"/>
                <w:sz w:val="28"/>
              </w:rPr>
              <w:t xml:space="preserve">44 </w:t>
            </w:r>
            <w:r>
              <w:rPr>
                <w:rFonts w:ascii="Times New Roman" w:hAnsi="Times New Roman"/>
                <w:b w:val="1"/>
                <w:sz w:val="28"/>
              </w:rPr>
              <w:t xml:space="preserve">«О государственной пенсии за выслугу лет лицам, замещавшим </w:t>
            </w:r>
            <w:r>
              <w:rPr>
                <w:rFonts w:ascii="Times New Roman" w:hAnsi="Times New Roman"/>
                <w:b w:val="1"/>
                <w:sz w:val="28"/>
              </w:rPr>
              <w:t>муниципальные и должности муниципальной</w:t>
            </w:r>
            <w:r>
              <w:rPr>
                <w:rFonts w:ascii="Times New Roman" w:hAnsi="Times New Roman"/>
                <w:b w:val="1"/>
                <w:sz w:val="28"/>
              </w:rPr>
              <w:t xml:space="preserve"> в органах местного самоуправления «Зимовниковское сельское поселение» Зимовниковского района</w:t>
            </w:r>
            <w:r>
              <w:rPr>
                <w:rFonts w:ascii="Times New Roman" w:hAnsi="Times New Roman"/>
                <w:b w:val="1"/>
                <w:sz w:val="28"/>
              </w:rPr>
              <w:t xml:space="preserve"> Ростовской области»</w:t>
            </w:r>
          </w:p>
        </w:tc>
      </w:tr>
      <w:tr>
        <w:trPr>
          <w:trHeight w:hRule="atLeast" w:val="2968"/>
        </w:trPr>
        <w:tc>
          <w:tcPr>
            <w:tcW w:type="dxa" w:w="4250"/>
            <w:tcBorders>
              <w:top w:sz="4" w:val="nil"/>
              <w:left w:sz="4" w:val="nil"/>
              <w:right w:sz="4" w:val="nil"/>
            </w:tcBorders>
            <w:shd w:fill="auto" w:val="clear"/>
          </w:tcPr>
          <w:p w14:paraId="16000000">
            <w:pPr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Выплата государственной пенсии за выслугу лет лицам, замещавшим муниципальные должности и должности муниципальной службы в органах местного самоуправления в рамках подпрограммы "Развитие муниципального управления и муниципальной службы в Администрации Зимовниковского сельского поселения, дополнительное профессиональное образование лиц, занятых в системе местного самоуправления" муниципальной программы Зимовниковского сельского поселения "Муниципальная политика" (Публичные нормативные социальные выплаты гражданам)</w:t>
            </w:r>
          </w:p>
        </w:tc>
        <w:tc>
          <w:tcPr>
            <w:tcW w:type="dxa" w:w="1701"/>
            <w:tcBorders>
              <w:top w:sz="4" w:val="nil"/>
              <w:left w:sz="4" w:val="nil"/>
              <w:right w:sz="4" w:val="nil"/>
            </w:tcBorders>
            <w:shd w:fill="auto" w:val="clear"/>
          </w:tcPr>
          <w:p w14:paraId="17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pacing w:val="-10"/>
                <w:sz w:val="28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pacing w:val="-8"/>
                <w:sz w:val="28"/>
              </w:rPr>
              <w:t>7</w:t>
            </w:r>
            <w:r>
              <w:rPr>
                <w:rFonts w:ascii="Times New Roman" w:hAnsi="Times New Roman"/>
                <w:color w:val="000000"/>
                <w:spacing w:val="-8"/>
                <w:sz w:val="28"/>
              </w:rPr>
              <w:t xml:space="preserve"> 1 00 1</w:t>
            </w:r>
            <w:r>
              <w:rPr>
                <w:rFonts w:ascii="Times New Roman" w:hAnsi="Times New Roman"/>
                <w:color w:val="000000"/>
                <w:spacing w:val="-8"/>
                <w:sz w:val="28"/>
              </w:rPr>
              <w:t>3010</w:t>
            </w:r>
          </w:p>
        </w:tc>
        <w:tc>
          <w:tcPr>
            <w:tcW w:type="dxa" w:w="712"/>
            <w:tcBorders>
              <w:top w:sz="4" w:val="nil"/>
              <w:left w:sz="4" w:val="nil"/>
              <w:right w:sz="4" w:val="nil"/>
            </w:tcBorders>
            <w:shd w:fill="auto" w:val="clear"/>
          </w:tcPr>
          <w:p w14:paraId="18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pacing w:val="-10"/>
                <w:sz w:val="28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8"/>
              </w:rPr>
              <w:t>310</w:t>
            </w:r>
          </w:p>
        </w:tc>
        <w:tc>
          <w:tcPr>
            <w:tcW w:type="dxa" w:w="1276"/>
            <w:tcBorders>
              <w:top w:sz="4" w:val="nil"/>
              <w:left w:sz="4" w:val="nil"/>
              <w:right w:sz="4" w:val="nil"/>
            </w:tcBorders>
          </w:tcPr>
          <w:p w14:paraId="19000000">
            <w:pPr>
              <w:ind w:firstLine="0" w:left="-108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687,3</w:t>
            </w:r>
          </w:p>
        </w:tc>
        <w:tc>
          <w:tcPr>
            <w:tcW w:type="dxa" w:w="1277"/>
            <w:tcBorders>
              <w:top w:sz="4" w:val="nil"/>
              <w:left w:sz="4" w:val="nil"/>
              <w:right w:sz="4" w:val="nil"/>
            </w:tcBorders>
          </w:tcPr>
          <w:p w14:paraId="1A000000">
            <w:pPr>
              <w:ind w:firstLine="0" w:left="-108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</w:rPr>
              <w:t>87,3</w:t>
            </w:r>
          </w:p>
        </w:tc>
        <w:tc>
          <w:tcPr>
            <w:tcW w:type="dxa" w:w="1276"/>
            <w:tcBorders>
              <w:top w:sz="4" w:val="nil"/>
              <w:left w:sz="4" w:val="nil"/>
              <w:right w:sz="4" w:val="nil"/>
            </w:tcBorders>
          </w:tcPr>
          <w:p w14:paraId="1B000000">
            <w:pPr>
              <w:ind w:firstLine="0" w:left="-108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</w:rPr>
              <w:t>87,3</w:t>
            </w:r>
          </w:p>
          <w:p w14:paraId="1C000000">
            <w:pPr>
              <w:ind w:firstLine="0" w:left="-108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>
        <w:trPr>
          <w:trHeight w:hRule="atLeast" w:val="549"/>
        </w:trPr>
        <w:tc>
          <w:tcPr>
            <w:tcW w:type="dxa" w:w="4250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</w:tcPr>
          <w:p w14:paraId="1D000000">
            <w:pPr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ВСЕГ</w:t>
            </w:r>
            <w:bookmarkStart w:id="1" w:name="_GoBack"/>
            <w:bookmarkEnd w:id="1"/>
            <w:r>
              <w:rPr>
                <w:rFonts w:ascii="Times New Roman" w:hAnsi="Times New Roman"/>
                <w:color w:val="000000"/>
                <w:sz w:val="28"/>
              </w:rPr>
              <w:t>О</w:t>
            </w:r>
          </w:p>
        </w:tc>
        <w:tc>
          <w:tcPr>
            <w:tcW w:type="dxa" w:w="1701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type="dxa" w:w="71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</w:tcPr>
          <w:p w14:paraId="1F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pacing w:val="-18"/>
                <w:sz w:val="28"/>
              </w:rPr>
            </w:pPr>
          </w:p>
        </w:tc>
        <w:tc>
          <w:tcPr>
            <w:tcW w:type="dxa" w:w="1276"/>
            <w:tcBorders>
              <w:top w:sz="4" w:val="nil"/>
              <w:left w:sz="4" w:val="nil"/>
              <w:right w:sz="4" w:val="nil"/>
            </w:tcBorders>
          </w:tcPr>
          <w:p w14:paraId="20000000">
            <w:pPr>
              <w:ind w:firstLine="0" w:left="-108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687,3</w:t>
            </w:r>
          </w:p>
        </w:tc>
        <w:tc>
          <w:tcPr>
            <w:tcW w:type="dxa" w:w="1277"/>
            <w:tcBorders>
              <w:top w:sz="4" w:val="nil"/>
              <w:left w:sz="4" w:val="nil"/>
              <w:right w:sz="4" w:val="nil"/>
            </w:tcBorders>
          </w:tcPr>
          <w:p w14:paraId="21000000">
            <w:pPr>
              <w:ind w:firstLine="0" w:left="-108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687,3</w:t>
            </w:r>
          </w:p>
        </w:tc>
        <w:tc>
          <w:tcPr>
            <w:tcW w:type="dxa" w:w="1276"/>
            <w:tcBorders>
              <w:top w:sz="4" w:val="nil"/>
              <w:left w:sz="4" w:val="nil"/>
              <w:right w:sz="4" w:val="nil"/>
            </w:tcBorders>
          </w:tcPr>
          <w:p w14:paraId="22000000">
            <w:pPr>
              <w:ind w:firstLine="0" w:left="-108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687,3</w:t>
            </w:r>
          </w:p>
          <w:p w14:paraId="23000000">
            <w:pPr>
              <w:ind w:firstLine="0" w:left="-108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14:paraId="24000000">
      <w:pPr>
        <w:pStyle w:val="Style_2"/>
        <w:rPr>
          <w:rFonts w:ascii="Times New Roman" w:hAnsi="Times New Roman"/>
          <w:sz w:val="28"/>
        </w:rPr>
      </w:pPr>
    </w:p>
    <w:p w14:paraId="25000000">
      <w:pPr>
        <w:pStyle w:val="Style_2"/>
        <w:rPr>
          <w:rFonts w:ascii="Times New Roman" w:hAnsi="Times New Roman"/>
          <w:sz w:val="28"/>
        </w:rPr>
      </w:pPr>
    </w:p>
    <w:p w14:paraId="26000000">
      <w:pPr>
        <w:pStyle w:val="Style_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Администрации Зимовниковского</w:t>
      </w:r>
    </w:p>
    <w:p w14:paraId="27000000">
      <w:pPr>
        <w:pStyle w:val="Style_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сельского поселения                                                                     А.В. Мартыненко </w:t>
      </w:r>
    </w:p>
    <w:p w14:paraId="28000000">
      <w:pPr>
        <w:pStyle w:val="Style_2"/>
        <w:rPr>
          <w:rFonts w:ascii="Times New Roman" w:hAnsi="Times New Roman"/>
          <w:sz w:val="28"/>
        </w:rPr>
      </w:pPr>
    </w:p>
    <w:sectPr>
      <w:footerReference r:id="rId1" w:type="default"/>
      <w:pgSz w:h="16838" w:orient="portrait" w:w="11906"/>
      <w:pgMar w:bottom="993" w:footer="177" w:gutter="0" w:header="709" w:left="1134" w:right="567" w:top="85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</w:pPr>
  </w:p>
  <w:p w14:paraId="02000000">
    <w:pPr>
      <w:pStyle w:val="Style_1"/>
    </w:pPr>
  </w:p>
</w:ft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heading 3"/>
    <w:next w:val="Style_4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" w:type="paragraph">
    <w:name w:val="footer"/>
    <w:basedOn w:val="Style_4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footer"/>
    <w:basedOn w:val="Style_4_ch"/>
    <w:link w:val="Style_1"/>
  </w:style>
  <w:style w:styleId="Style_2" w:type="paragraph">
    <w:name w:val="No Spacing"/>
    <w:link w:val="Style_2_ch"/>
    <w:pPr>
      <w:spacing w:after="0" w:line="240" w:lineRule="auto"/>
      <w:ind/>
    </w:pPr>
  </w:style>
  <w:style w:styleId="Style_2_ch" w:type="character">
    <w:name w:val="No Spacing"/>
    <w:link w:val="Style_2"/>
  </w:style>
  <w:style w:styleId="Style_11" w:type="paragraph">
    <w:name w:val="toc 3"/>
    <w:next w:val="Style_4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er"/>
    <w:basedOn w:val="Style_4"/>
    <w:link w:val="Style_12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2_ch" w:type="character">
    <w:name w:val="header"/>
    <w:basedOn w:val="Style_4_ch"/>
    <w:link w:val="Style_12"/>
  </w:style>
  <w:style w:styleId="Style_13" w:type="paragraph">
    <w:name w:val="heading 5"/>
    <w:next w:val="Style_4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4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4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0"/>
    </w:rPr>
  </w:style>
  <w:style w:styleId="Style_18_ch" w:type="character">
    <w:name w:val="Header and Footer"/>
    <w:link w:val="Style_18"/>
    <w:rPr>
      <w:rFonts w:ascii="XO Thames" w:hAnsi="XO Thames"/>
      <w:sz w:val="20"/>
    </w:rPr>
  </w:style>
  <w:style w:styleId="Style_19" w:type="paragraph">
    <w:name w:val="toc 9"/>
    <w:next w:val="Style_4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4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4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List Paragraph"/>
    <w:basedOn w:val="Style_4"/>
    <w:link w:val="Style_22_ch"/>
    <w:pPr>
      <w:ind w:firstLine="0" w:left="720"/>
      <w:contextualSpacing w:val="1"/>
    </w:pPr>
  </w:style>
  <w:style w:styleId="Style_22_ch" w:type="character">
    <w:name w:val="List Paragraph"/>
    <w:basedOn w:val="Style_4_ch"/>
    <w:link w:val="Style_22"/>
  </w:style>
  <w:style w:styleId="Style_23" w:type="paragraph">
    <w:name w:val="Subtitle"/>
    <w:next w:val="Style_4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Balloon Text"/>
    <w:basedOn w:val="Style_4"/>
    <w:link w:val="Style_24_ch"/>
    <w:pPr>
      <w:spacing w:after="0" w:line="240" w:lineRule="auto"/>
      <w:ind/>
    </w:pPr>
    <w:rPr>
      <w:rFonts w:ascii="Tahoma" w:hAnsi="Tahoma"/>
      <w:sz w:val="16"/>
    </w:rPr>
  </w:style>
  <w:style w:styleId="Style_24_ch" w:type="character">
    <w:name w:val="Balloon Text"/>
    <w:basedOn w:val="Style_4_ch"/>
    <w:link w:val="Style_24"/>
    <w:rPr>
      <w:rFonts w:ascii="Tahoma" w:hAnsi="Tahoma"/>
      <w:sz w:val="16"/>
    </w:rPr>
  </w:style>
  <w:style w:styleId="Style_25" w:type="paragraph">
    <w:name w:val="Title"/>
    <w:next w:val="Style_4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4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next w:val="Style_4"/>
    <w:link w:val="Style_27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8" w:type="table">
    <w:name w:val="Table Grid"/>
    <w:basedOn w:val="Style_3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footer1.xml" Type="http://schemas.openxmlformats.org/officeDocument/2006/relationships/foot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2023-11-10T12:15:12Z</dcterms:modified>
</cp:coreProperties>
</file>